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F6EA" w14:textId="5A8AFE8B" w:rsidR="00533C05" w:rsidRPr="00661DCF" w:rsidRDefault="00537D21">
      <w:pPr>
        <w:rPr>
          <w:rFonts w:ascii="Arial" w:hAnsi="Arial" w:cs="Arial"/>
        </w:rPr>
      </w:pPr>
      <w:bookmarkStart w:id="0" w:name="_GoBack"/>
      <w:bookmarkEnd w:id="0"/>
      <w:r w:rsidRPr="00661DCF">
        <w:rPr>
          <w:rFonts w:ascii="Arial" w:hAnsi="Arial" w:cs="Arial"/>
          <w:b/>
          <w:u w:val="single"/>
        </w:rPr>
        <w:t>CPD Resources List</w:t>
      </w:r>
      <w:r w:rsidR="00661DCF">
        <w:rPr>
          <w:rFonts w:ascii="Arial" w:hAnsi="Arial" w:cs="Arial"/>
          <w:b/>
          <w:u w:val="single"/>
        </w:rPr>
        <w:t xml:space="preserve"> for employers</w:t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  <w:r w:rsidR="00661DCF">
        <w:rPr>
          <w:noProof/>
          <w:lang w:eastAsia="en-GB"/>
        </w:rPr>
        <w:drawing>
          <wp:inline distT="0" distB="0" distL="0" distR="0" wp14:anchorId="21540C8A" wp14:editId="3071CF25">
            <wp:extent cx="922100" cy="403895"/>
            <wp:effectExtent l="0" t="0" r="0" b="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00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DCF">
        <w:rPr>
          <w:rFonts w:ascii="Arial" w:hAnsi="Arial" w:cs="Arial"/>
        </w:rPr>
        <w:tab/>
      </w:r>
      <w:r w:rsidR="00661DCF">
        <w:rPr>
          <w:rFonts w:ascii="Arial" w:hAnsi="Arial" w:cs="Arial"/>
        </w:rPr>
        <w:tab/>
      </w:r>
    </w:p>
    <w:p w14:paraId="77BB6039" w14:textId="384AF9A5" w:rsidR="00537D21" w:rsidRDefault="00661DCF">
      <w:pPr>
        <w:rPr>
          <w:rFonts w:ascii="Arial" w:hAnsi="Arial" w:cs="Arial"/>
          <w:b/>
          <w:u w:val="single"/>
        </w:rPr>
      </w:pPr>
      <w:r w:rsidRPr="00661DCF">
        <w:rPr>
          <w:rFonts w:ascii="Arial" w:hAnsi="Arial" w:cs="Arial"/>
          <w:b/>
          <w:u w:val="single"/>
        </w:rPr>
        <w:t>E-Learning modules</w:t>
      </w:r>
      <w:r w:rsidR="008C11C3">
        <w:rPr>
          <w:rFonts w:ascii="Arial" w:hAnsi="Arial" w:cs="Arial"/>
          <w:b/>
          <w:u w:val="single"/>
        </w:rPr>
        <w:t xml:space="preserve"> / videos</w:t>
      </w:r>
      <w:r w:rsidR="00317EDA">
        <w:rPr>
          <w:rFonts w:ascii="Arial" w:hAnsi="Arial" w:cs="Arial"/>
          <w:b/>
          <w:u w:val="single"/>
        </w:rPr>
        <w:t xml:space="preserve"> / webinars</w:t>
      </w:r>
      <w:r>
        <w:rPr>
          <w:rFonts w:ascii="Arial" w:hAnsi="Arial" w:cs="Arial"/>
          <w:b/>
          <w:u w:val="single"/>
        </w:rPr>
        <w:t xml:space="preserve"> (CITB Commissions)</w:t>
      </w:r>
    </w:p>
    <w:p w14:paraId="3622E324" w14:textId="77777777" w:rsidR="001B71B3" w:rsidRPr="00661DCF" w:rsidRDefault="001B71B3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4489" w:type="dxa"/>
        <w:jc w:val="center"/>
        <w:tblLook w:val="04A0" w:firstRow="1" w:lastRow="0" w:firstColumn="1" w:lastColumn="0" w:noHBand="0" w:noVBand="1"/>
      </w:tblPr>
      <w:tblGrid>
        <w:gridCol w:w="2112"/>
        <w:gridCol w:w="2225"/>
        <w:gridCol w:w="2063"/>
        <w:gridCol w:w="4416"/>
        <w:gridCol w:w="3673"/>
      </w:tblGrid>
      <w:tr w:rsidR="00317EDA" w14:paraId="1D5BBFE8" w14:textId="77777777" w:rsidTr="00B2367A">
        <w:trPr>
          <w:trHeight w:val="641"/>
          <w:jc w:val="center"/>
        </w:trPr>
        <w:tc>
          <w:tcPr>
            <w:tcW w:w="2112" w:type="dxa"/>
            <w:shd w:val="clear" w:color="auto" w:fill="BDD6EE" w:themeFill="accent1" w:themeFillTint="66"/>
          </w:tcPr>
          <w:p w14:paraId="6A67563A" w14:textId="77777777" w:rsidR="0070402E" w:rsidRPr="00537D21" w:rsidRDefault="0070402E" w:rsidP="00537D21">
            <w:pPr>
              <w:jc w:val="center"/>
              <w:rPr>
                <w:b/>
              </w:rPr>
            </w:pPr>
            <w:r w:rsidRPr="00537D21">
              <w:rPr>
                <w:b/>
              </w:rPr>
              <w:t xml:space="preserve">Name </w:t>
            </w:r>
          </w:p>
        </w:tc>
        <w:tc>
          <w:tcPr>
            <w:tcW w:w="2225" w:type="dxa"/>
            <w:shd w:val="clear" w:color="auto" w:fill="BDD6EE" w:themeFill="accent1" w:themeFillTint="66"/>
          </w:tcPr>
          <w:p w14:paraId="1963E217" w14:textId="77777777" w:rsidR="0070402E" w:rsidRPr="00537D21" w:rsidRDefault="0070402E" w:rsidP="00537D21">
            <w:pPr>
              <w:jc w:val="center"/>
              <w:rPr>
                <w:b/>
              </w:rPr>
            </w:pPr>
            <w:r w:rsidRPr="00537D21">
              <w:rPr>
                <w:b/>
              </w:rPr>
              <w:t xml:space="preserve">Lead Organisation </w:t>
            </w:r>
          </w:p>
        </w:tc>
        <w:tc>
          <w:tcPr>
            <w:tcW w:w="2063" w:type="dxa"/>
            <w:shd w:val="clear" w:color="auto" w:fill="BDD6EE" w:themeFill="accent1" w:themeFillTint="66"/>
          </w:tcPr>
          <w:p w14:paraId="27E538DD" w14:textId="77777777" w:rsidR="0070402E" w:rsidRPr="00537D21" w:rsidRDefault="0070402E" w:rsidP="00537D21">
            <w:pPr>
              <w:jc w:val="center"/>
              <w:rPr>
                <w:b/>
              </w:rPr>
            </w:pPr>
            <w:r w:rsidRPr="00537D21">
              <w:rPr>
                <w:b/>
              </w:rPr>
              <w:t xml:space="preserve">Topic </w:t>
            </w:r>
          </w:p>
        </w:tc>
        <w:tc>
          <w:tcPr>
            <w:tcW w:w="4416" w:type="dxa"/>
            <w:shd w:val="clear" w:color="auto" w:fill="BDD6EE" w:themeFill="accent1" w:themeFillTint="66"/>
          </w:tcPr>
          <w:p w14:paraId="1FC34C15" w14:textId="77777777" w:rsidR="0070402E" w:rsidRPr="00537D21" w:rsidRDefault="0070402E" w:rsidP="00537D21">
            <w:pPr>
              <w:jc w:val="center"/>
              <w:rPr>
                <w:b/>
              </w:rPr>
            </w:pPr>
            <w:r w:rsidRPr="00537D21">
              <w:rPr>
                <w:b/>
              </w:rPr>
              <w:t xml:space="preserve">Website </w:t>
            </w:r>
          </w:p>
        </w:tc>
        <w:tc>
          <w:tcPr>
            <w:tcW w:w="3673" w:type="dxa"/>
            <w:shd w:val="clear" w:color="auto" w:fill="BDD6EE" w:themeFill="accent1" w:themeFillTint="66"/>
          </w:tcPr>
          <w:p w14:paraId="224A7448" w14:textId="77777777" w:rsidR="0070402E" w:rsidRPr="00537D21" w:rsidRDefault="0070402E" w:rsidP="00537D2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17EDA" w14:paraId="3AC4B56C" w14:textId="77777777" w:rsidTr="00B2367A">
        <w:trPr>
          <w:trHeight w:val="660"/>
          <w:jc w:val="center"/>
        </w:trPr>
        <w:tc>
          <w:tcPr>
            <w:tcW w:w="2112" w:type="dxa"/>
          </w:tcPr>
          <w:p w14:paraId="3275A8D6" w14:textId="52295F5F" w:rsidR="00661DCF" w:rsidRPr="00537D21" w:rsidRDefault="00661DCF" w:rsidP="00537D21">
            <w:pPr>
              <w:jc w:val="center"/>
            </w:pPr>
            <w:r>
              <w:t>Supply Chain Sustainability School</w:t>
            </w:r>
          </w:p>
        </w:tc>
        <w:tc>
          <w:tcPr>
            <w:tcW w:w="2225" w:type="dxa"/>
          </w:tcPr>
          <w:p w14:paraId="66DAFA53" w14:textId="23533A52" w:rsidR="00661DCF" w:rsidRPr="00537D21" w:rsidRDefault="00661DCF" w:rsidP="00537D21">
            <w:pPr>
              <w:jc w:val="center"/>
            </w:pPr>
            <w:r>
              <w:t>Supply Chain Sustainability School</w:t>
            </w:r>
          </w:p>
        </w:tc>
        <w:tc>
          <w:tcPr>
            <w:tcW w:w="2063" w:type="dxa"/>
          </w:tcPr>
          <w:p w14:paraId="53102A9D" w14:textId="4D5C9EEC" w:rsidR="001B71B3" w:rsidRDefault="00317EDA" w:rsidP="0028025B">
            <w:pPr>
              <w:jc w:val="center"/>
            </w:pPr>
            <w:r>
              <w:rPr>
                <w:rFonts w:eastAsia="Times New Roman" w:cs="Helvetica"/>
              </w:rPr>
              <w:t>O</w:t>
            </w:r>
            <w:r w:rsidR="00661DCF" w:rsidRPr="00661DCF">
              <w:rPr>
                <w:rFonts w:eastAsia="Times New Roman" w:cs="Helvetica"/>
              </w:rPr>
              <w:t>ver 2,500 online resources</w:t>
            </w:r>
            <w:r w:rsidR="00661DCF" w:rsidRPr="00661DCF">
              <w:rPr>
                <w:rFonts w:ascii="Helvetica" w:eastAsia="Times New Roman" w:hAnsi="Helvetica" w:cs="Helvetica"/>
              </w:rPr>
              <w:t xml:space="preserve"> </w:t>
            </w:r>
            <w:r w:rsidR="00F37FA0">
              <w:t>Sustainability</w:t>
            </w:r>
            <w:r w:rsidR="00661DCF">
              <w:t xml:space="preserve"> / Lean Construction / BIM / Management / Offsite / Fairness, Inclusion and Respect</w:t>
            </w:r>
          </w:p>
          <w:p w14:paraId="1A7A6DB1" w14:textId="77777777" w:rsidR="009F0AAB" w:rsidRDefault="009F0AAB" w:rsidP="0028025B">
            <w:pPr>
              <w:jc w:val="center"/>
            </w:pPr>
          </w:p>
          <w:p w14:paraId="79C22129" w14:textId="5151F50C" w:rsidR="00317EDA" w:rsidRPr="00537D21" w:rsidRDefault="00317EDA" w:rsidP="0028025B">
            <w:pPr>
              <w:jc w:val="center"/>
            </w:pPr>
          </w:p>
        </w:tc>
        <w:tc>
          <w:tcPr>
            <w:tcW w:w="4416" w:type="dxa"/>
          </w:tcPr>
          <w:p w14:paraId="45117323" w14:textId="77777777" w:rsidR="00661DCF" w:rsidRDefault="00456BB1" w:rsidP="00661DCF">
            <w:pPr>
              <w:jc w:val="center"/>
              <w:rPr>
                <w:rStyle w:val="Hyperlink"/>
              </w:rPr>
            </w:pPr>
            <w:hyperlink r:id="rId11" w:history="1">
              <w:r w:rsidR="00661DCF" w:rsidRPr="00CC1D7A">
                <w:rPr>
                  <w:rStyle w:val="Hyperlink"/>
                </w:rPr>
                <w:t>https://www.supplychainschool.co.uk/topics/</w:t>
              </w:r>
            </w:hyperlink>
          </w:p>
          <w:p w14:paraId="4326FB0E" w14:textId="77777777" w:rsidR="0028025B" w:rsidRDefault="0028025B" w:rsidP="00661DCF">
            <w:pPr>
              <w:jc w:val="center"/>
              <w:rPr>
                <w:rStyle w:val="Hyperlink"/>
              </w:rPr>
            </w:pPr>
          </w:p>
          <w:p w14:paraId="497A1017" w14:textId="77777777" w:rsidR="0028025B" w:rsidRDefault="0028025B" w:rsidP="00661DCF">
            <w:pPr>
              <w:jc w:val="center"/>
            </w:pPr>
          </w:p>
          <w:p w14:paraId="277F0806" w14:textId="77777777" w:rsidR="00661DCF" w:rsidRDefault="00661DCF" w:rsidP="00537D21">
            <w:pPr>
              <w:jc w:val="center"/>
            </w:pPr>
          </w:p>
        </w:tc>
        <w:tc>
          <w:tcPr>
            <w:tcW w:w="3673" w:type="dxa"/>
          </w:tcPr>
          <w:p w14:paraId="4F6397D5" w14:textId="27452465" w:rsidR="00661DCF" w:rsidRDefault="008C11C3" w:rsidP="00537D21">
            <w:pPr>
              <w:jc w:val="center"/>
            </w:pPr>
            <w:r>
              <w:t>Register and</w:t>
            </w:r>
            <w:r w:rsidR="00661DCF">
              <w:t xml:space="preserve"> Free Access</w:t>
            </w:r>
          </w:p>
        </w:tc>
      </w:tr>
      <w:tr w:rsidR="00317EDA" w14:paraId="411252A1" w14:textId="77777777" w:rsidTr="00B2367A">
        <w:trPr>
          <w:trHeight w:val="1193"/>
          <w:jc w:val="center"/>
        </w:trPr>
        <w:tc>
          <w:tcPr>
            <w:tcW w:w="2112" w:type="dxa"/>
          </w:tcPr>
          <w:p w14:paraId="70DED918" w14:textId="77777777" w:rsidR="0070402E" w:rsidRDefault="0070402E" w:rsidP="00537D21">
            <w:pPr>
              <w:jc w:val="center"/>
            </w:pPr>
            <w:r w:rsidRPr="00537D21">
              <w:t>Functional BIM</w:t>
            </w:r>
          </w:p>
          <w:p w14:paraId="303B6382" w14:textId="77777777" w:rsidR="00661DCF" w:rsidRDefault="00661DCF" w:rsidP="00537D21">
            <w:pPr>
              <w:jc w:val="center"/>
            </w:pPr>
          </w:p>
          <w:p w14:paraId="3BD97118" w14:textId="77777777" w:rsidR="001B71B3" w:rsidRDefault="001B71B3" w:rsidP="00537D21">
            <w:pPr>
              <w:jc w:val="center"/>
            </w:pPr>
          </w:p>
          <w:p w14:paraId="73709F96" w14:textId="77777777" w:rsidR="001B71B3" w:rsidRDefault="001B71B3" w:rsidP="00537D21">
            <w:pPr>
              <w:jc w:val="center"/>
            </w:pPr>
          </w:p>
          <w:p w14:paraId="63DDE146" w14:textId="77777777" w:rsidR="00661DCF" w:rsidRPr="00537D21" w:rsidRDefault="00661DCF" w:rsidP="0028025B"/>
        </w:tc>
        <w:tc>
          <w:tcPr>
            <w:tcW w:w="2225" w:type="dxa"/>
          </w:tcPr>
          <w:p w14:paraId="52182AE5" w14:textId="77777777" w:rsidR="0070402E" w:rsidRPr="00537D21" w:rsidRDefault="0070402E" w:rsidP="00537D21">
            <w:pPr>
              <w:jc w:val="center"/>
            </w:pPr>
            <w:r w:rsidRPr="00537D21">
              <w:t>Vinci PLC</w:t>
            </w:r>
          </w:p>
        </w:tc>
        <w:tc>
          <w:tcPr>
            <w:tcW w:w="2063" w:type="dxa"/>
          </w:tcPr>
          <w:p w14:paraId="023B7F12" w14:textId="77777777" w:rsidR="0070402E" w:rsidRDefault="0070402E" w:rsidP="0028025B">
            <w:pPr>
              <w:jc w:val="center"/>
            </w:pPr>
            <w:r w:rsidRPr="00537D21">
              <w:t>BIM</w:t>
            </w:r>
          </w:p>
          <w:p w14:paraId="7549B22D" w14:textId="18D994B0" w:rsidR="00534CD6" w:rsidRDefault="00534CD6" w:rsidP="00280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short-dur</w:t>
            </w:r>
            <w:r w:rsidR="00317EDA">
              <w:rPr>
                <w:lang w:val="en-US"/>
              </w:rPr>
              <w:t xml:space="preserve">ation e-learning modules </w:t>
            </w:r>
          </w:p>
          <w:p w14:paraId="6E29D5B0" w14:textId="77777777" w:rsidR="00317EDA" w:rsidRDefault="00317EDA" w:rsidP="0028025B">
            <w:pPr>
              <w:jc w:val="center"/>
              <w:rPr>
                <w:lang w:val="en-US"/>
              </w:rPr>
            </w:pPr>
          </w:p>
          <w:p w14:paraId="31D6336F" w14:textId="20484B6A" w:rsidR="00317EDA" w:rsidRPr="0028025B" w:rsidRDefault="00317EDA" w:rsidP="0028025B">
            <w:pPr>
              <w:jc w:val="center"/>
            </w:pPr>
          </w:p>
        </w:tc>
        <w:tc>
          <w:tcPr>
            <w:tcW w:w="4416" w:type="dxa"/>
          </w:tcPr>
          <w:p w14:paraId="213F5308" w14:textId="77777777" w:rsidR="0070402E" w:rsidRPr="00537D21" w:rsidRDefault="00456BB1" w:rsidP="00537D21">
            <w:pPr>
              <w:jc w:val="center"/>
            </w:pPr>
            <w:hyperlink r:id="rId12" w:history="1">
              <w:r w:rsidR="0070402E" w:rsidRPr="00537D21">
                <w:rPr>
                  <w:rStyle w:val="Hyperlink"/>
                </w:rPr>
                <w:t>https://www.vincibim.com/</w:t>
              </w:r>
            </w:hyperlink>
          </w:p>
          <w:p w14:paraId="15612630" w14:textId="77777777" w:rsidR="0070402E" w:rsidRPr="00537D21" w:rsidRDefault="0070402E" w:rsidP="00537D21">
            <w:pPr>
              <w:jc w:val="center"/>
            </w:pPr>
          </w:p>
        </w:tc>
        <w:tc>
          <w:tcPr>
            <w:tcW w:w="3673" w:type="dxa"/>
          </w:tcPr>
          <w:p w14:paraId="4B02AF77" w14:textId="0235D78E" w:rsidR="0070402E" w:rsidRPr="00537D21" w:rsidRDefault="0028025B" w:rsidP="00537D21">
            <w:pPr>
              <w:jc w:val="center"/>
            </w:pPr>
            <w:r>
              <w:t>Register and Free Access</w:t>
            </w:r>
          </w:p>
        </w:tc>
      </w:tr>
      <w:tr w:rsidR="00317EDA" w14:paraId="54F9B8AF" w14:textId="77777777" w:rsidTr="00B2367A">
        <w:trPr>
          <w:trHeight w:val="311"/>
          <w:jc w:val="center"/>
        </w:trPr>
        <w:tc>
          <w:tcPr>
            <w:tcW w:w="2112" w:type="dxa"/>
          </w:tcPr>
          <w:p w14:paraId="71653A61" w14:textId="07CA5D4A" w:rsidR="0070402E" w:rsidRDefault="0070402E" w:rsidP="00537D21">
            <w:pPr>
              <w:jc w:val="center"/>
            </w:pPr>
            <w:r w:rsidRPr="0070402E">
              <w:t>Lean Construction Development Pathway</w:t>
            </w:r>
          </w:p>
          <w:p w14:paraId="537D985E" w14:textId="77777777" w:rsidR="00661DCF" w:rsidRDefault="00661DCF" w:rsidP="00537D21">
            <w:pPr>
              <w:jc w:val="center"/>
            </w:pPr>
          </w:p>
          <w:p w14:paraId="5F297C2F" w14:textId="77777777" w:rsidR="00661DCF" w:rsidRDefault="00661DCF" w:rsidP="00537D21">
            <w:pPr>
              <w:jc w:val="center"/>
            </w:pPr>
          </w:p>
          <w:p w14:paraId="558DF2EF" w14:textId="77777777" w:rsidR="00B2367A" w:rsidRDefault="00B2367A" w:rsidP="00537D21">
            <w:pPr>
              <w:jc w:val="center"/>
            </w:pPr>
          </w:p>
          <w:p w14:paraId="41ADAF30" w14:textId="77777777" w:rsidR="00B2367A" w:rsidRDefault="00B2367A" w:rsidP="00537D21">
            <w:pPr>
              <w:jc w:val="center"/>
            </w:pPr>
          </w:p>
          <w:p w14:paraId="1C724CD8" w14:textId="77777777" w:rsidR="00B2367A" w:rsidRDefault="00B2367A" w:rsidP="00537D21">
            <w:pPr>
              <w:jc w:val="center"/>
            </w:pPr>
          </w:p>
        </w:tc>
        <w:tc>
          <w:tcPr>
            <w:tcW w:w="2225" w:type="dxa"/>
          </w:tcPr>
          <w:p w14:paraId="67FAAA6C" w14:textId="77777777" w:rsidR="0070402E" w:rsidRDefault="0070402E" w:rsidP="00537D21">
            <w:pPr>
              <w:jc w:val="center"/>
            </w:pPr>
            <w:r w:rsidRPr="0070402E">
              <w:t>Mace Ltd</w:t>
            </w:r>
          </w:p>
        </w:tc>
        <w:tc>
          <w:tcPr>
            <w:tcW w:w="2063" w:type="dxa"/>
          </w:tcPr>
          <w:p w14:paraId="1668E02B" w14:textId="153A7B3D" w:rsidR="0070402E" w:rsidRDefault="00534CD6" w:rsidP="00537D21">
            <w:pPr>
              <w:jc w:val="center"/>
            </w:pPr>
            <w:r>
              <w:rPr>
                <w:lang w:val="en-US"/>
              </w:rPr>
              <w:t>Lean Development Pathway which  includes</w:t>
            </w:r>
            <w:r w:rsidR="00040519">
              <w:rPr>
                <w:lang w:val="en-US"/>
              </w:rPr>
              <w:t xml:space="preserve"> a self-assessment and a</w:t>
            </w:r>
            <w:r>
              <w:rPr>
                <w:lang w:val="en-US"/>
              </w:rPr>
              <w:t xml:space="preserve"> number of videos focused on Lean Construction</w:t>
            </w:r>
            <w:r>
              <w:t xml:space="preserve"> </w:t>
            </w:r>
            <w:r w:rsidR="0070402E">
              <w:t xml:space="preserve"> </w:t>
            </w:r>
          </w:p>
        </w:tc>
        <w:tc>
          <w:tcPr>
            <w:tcW w:w="4416" w:type="dxa"/>
          </w:tcPr>
          <w:p w14:paraId="506C9535" w14:textId="77777777" w:rsidR="0070402E" w:rsidRDefault="00456BB1" w:rsidP="004F273D">
            <w:pPr>
              <w:jc w:val="center"/>
            </w:pPr>
            <w:hyperlink r:id="rId13" w:history="1">
              <w:r w:rsidR="0070402E" w:rsidRPr="00CC1D7A">
                <w:rPr>
                  <w:rStyle w:val="Hyperlink"/>
                </w:rPr>
                <w:t>https://leanconstructionschool.com/</w:t>
              </w:r>
            </w:hyperlink>
          </w:p>
          <w:p w14:paraId="70A4E5F2" w14:textId="77777777" w:rsidR="0070402E" w:rsidRDefault="0070402E" w:rsidP="004F273D">
            <w:pPr>
              <w:jc w:val="center"/>
            </w:pPr>
          </w:p>
        </w:tc>
        <w:tc>
          <w:tcPr>
            <w:tcW w:w="3673" w:type="dxa"/>
          </w:tcPr>
          <w:p w14:paraId="01167100" w14:textId="77777777" w:rsidR="0070402E" w:rsidRDefault="0070402E" w:rsidP="00537D21">
            <w:pPr>
              <w:jc w:val="center"/>
            </w:pPr>
            <w:r w:rsidRPr="0070402E">
              <w:t>Register and Free Access</w:t>
            </w:r>
          </w:p>
        </w:tc>
      </w:tr>
      <w:tr w:rsidR="00B2367A" w:rsidRPr="00B2367A" w14:paraId="1187179B" w14:textId="77777777" w:rsidTr="00B2367A">
        <w:trPr>
          <w:trHeight w:val="311"/>
          <w:jc w:val="center"/>
        </w:trPr>
        <w:tc>
          <w:tcPr>
            <w:tcW w:w="2112" w:type="dxa"/>
            <w:shd w:val="clear" w:color="auto" w:fill="BDD6EE" w:themeFill="accent1" w:themeFillTint="66"/>
          </w:tcPr>
          <w:p w14:paraId="05946387" w14:textId="06A156CD" w:rsidR="00B2367A" w:rsidRPr="00B2367A" w:rsidRDefault="00B2367A" w:rsidP="00537D21">
            <w:pPr>
              <w:jc w:val="center"/>
              <w:rPr>
                <w:b/>
                <w:lang w:val="en-US"/>
              </w:rPr>
            </w:pPr>
            <w:r w:rsidRPr="00B2367A">
              <w:rPr>
                <w:b/>
                <w:lang w:val="en-US"/>
              </w:rPr>
              <w:lastRenderedPageBreak/>
              <w:t>Name</w:t>
            </w:r>
          </w:p>
        </w:tc>
        <w:tc>
          <w:tcPr>
            <w:tcW w:w="2225" w:type="dxa"/>
            <w:shd w:val="clear" w:color="auto" w:fill="BDD6EE" w:themeFill="accent1" w:themeFillTint="66"/>
          </w:tcPr>
          <w:p w14:paraId="28BAF435" w14:textId="6599713E" w:rsidR="00B2367A" w:rsidRPr="00B2367A" w:rsidRDefault="00B2367A" w:rsidP="00537D21">
            <w:pPr>
              <w:jc w:val="center"/>
              <w:rPr>
                <w:rFonts w:cs="Arial"/>
                <w:b/>
                <w:color w:val="000000"/>
              </w:rPr>
            </w:pPr>
            <w:r w:rsidRPr="00B2367A">
              <w:rPr>
                <w:rFonts w:cs="Arial"/>
                <w:b/>
                <w:color w:val="000000"/>
              </w:rPr>
              <w:t>Lead Organisation</w:t>
            </w:r>
          </w:p>
        </w:tc>
        <w:tc>
          <w:tcPr>
            <w:tcW w:w="2063" w:type="dxa"/>
            <w:shd w:val="clear" w:color="auto" w:fill="BDD6EE" w:themeFill="accent1" w:themeFillTint="66"/>
          </w:tcPr>
          <w:p w14:paraId="414BD0C2" w14:textId="77777777" w:rsidR="00B2367A" w:rsidRDefault="00B2367A" w:rsidP="008C11C3">
            <w:pPr>
              <w:jc w:val="center"/>
              <w:rPr>
                <w:rFonts w:cs="Arial"/>
                <w:b/>
                <w:color w:val="000000"/>
              </w:rPr>
            </w:pPr>
            <w:r w:rsidRPr="00B2367A">
              <w:rPr>
                <w:rFonts w:cs="Arial"/>
                <w:b/>
                <w:color w:val="000000"/>
              </w:rPr>
              <w:t>Topic</w:t>
            </w:r>
          </w:p>
          <w:p w14:paraId="726B6C3C" w14:textId="77777777" w:rsidR="00B2367A" w:rsidRDefault="00B2367A" w:rsidP="008C11C3">
            <w:pPr>
              <w:jc w:val="center"/>
              <w:rPr>
                <w:rFonts w:cs="Arial"/>
                <w:b/>
                <w:color w:val="000000"/>
              </w:rPr>
            </w:pPr>
          </w:p>
          <w:p w14:paraId="273757A4" w14:textId="4A9A4571" w:rsidR="00B2367A" w:rsidRPr="00B2367A" w:rsidRDefault="00B2367A" w:rsidP="008C11C3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4416" w:type="dxa"/>
            <w:shd w:val="clear" w:color="auto" w:fill="BDD6EE" w:themeFill="accent1" w:themeFillTint="66"/>
          </w:tcPr>
          <w:p w14:paraId="112A05DF" w14:textId="1B66EBCD" w:rsidR="00B2367A" w:rsidRPr="00B2367A" w:rsidRDefault="00B2367A" w:rsidP="004F273D">
            <w:pPr>
              <w:jc w:val="center"/>
              <w:rPr>
                <w:b/>
              </w:rPr>
            </w:pPr>
            <w:r w:rsidRPr="00B2367A">
              <w:rPr>
                <w:b/>
              </w:rPr>
              <w:t>Website</w:t>
            </w:r>
          </w:p>
        </w:tc>
        <w:tc>
          <w:tcPr>
            <w:tcW w:w="3673" w:type="dxa"/>
            <w:shd w:val="clear" w:color="auto" w:fill="BDD6EE" w:themeFill="accent1" w:themeFillTint="66"/>
          </w:tcPr>
          <w:p w14:paraId="143006F1" w14:textId="5670D297" w:rsidR="00B2367A" w:rsidRPr="00B2367A" w:rsidRDefault="00B2367A" w:rsidP="00537D21">
            <w:pPr>
              <w:jc w:val="center"/>
              <w:rPr>
                <w:b/>
              </w:rPr>
            </w:pPr>
            <w:r w:rsidRPr="00B2367A">
              <w:rPr>
                <w:b/>
              </w:rPr>
              <w:t>Notes</w:t>
            </w:r>
          </w:p>
        </w:tc>
      </w:tr>
      <w:tr w:rsidR="00317EDA" w:rsidRPr="004F273D" w14:paraId="0916C4C2" w14:textId="77777777" w:rsidTr="00B2367A">
        <w:trPr>
          <w:trHeight w:val="311"/>
          <w:jc w:val="center"/>
        </w:trPr>
        <w:tc>
          <w:tcPr>
            <w:tcW w:w="2112" w:type="dxa"/>
          </w:tcPr>
          <w:p w14:paraId="69254F53" w14:textId="23133061" w:rsidR="005553EC" w:rsidRPr="004F273D" w:rsidRDefault="004F273D" w:rsidP="00537D21">
            <w:pPr>
              <w:jc w:val="center"/>
            </w:pPr>
            <w:r>
              <w:rPr>
                <w:lang w:val="en-US"/>
              </w:rPr>
              <w:t>BCTG Supervisor Development Programme</w:t>
            </w:r>
          </w:p>
        </w:tc>
        <w:tc>
          <w:tcPr>
            <w:tcW w:w="2225" w:type="dxa"/>
          </w:tcPr>
          <w:p w14:paraId="5761200F" w14:textId="7268B80C" w:rsidR="005553EC" w:rsidRPr="004F273D" w:rsidRDefault="005553EC" w:rsidP="00537D21">
            <w:pPr>
              <w:jc w:val="center"/>
            </w:pPr>
            <w:r w:rsidRPr="004F273D">
              <w:rPr>
                <w:rFonts w:cs="Arial"/>
                <w:color w:val="000000"/>
              </w:rPr>
              <w:t xml:space="preserve">Building Contractors Training Group </w:t>
            </w:r>
          </w:p>
        </w:tc>
        <w:tc>
          <w:tcPr>
            <w:tcW w:w="2063" w:type="dxa"/>
          </w:tcPr>
          <w:p w14:paraId="1E242E76" w14:textId="77777777" w:rsidR="005553EC" w:rsidRDefault="008C11C3" w:rsidP="008C11C3">
            <w:pPr>
              <w:jc w:val="center"/>
              <w:rPr>
                <w:lang w:val="en-US"/>
              </w:rPr>
            </w:pPr>
            <w:r>
              <w:rPr>
                <w:rFonts w:cs="Arial"/>
                <w:color w:val="000000"/>
              </w:rPr>
              <w:t>F</w:t>
            </w:r>
            <w:r w:rsidR="005553EC" w:rsidRPr="004F273D">
              <w:rPr>
                <w:rFonts w:cs="Arial"/>
                <w:color w:val="000000"/>
              </w:rPr>
              <w:t>or anyone new to the supervisors role</w:t>
            </w:r>
            <w:r>
              <w:rPr>
                <w:rFonts w:cs="Arial"/>
                <w:color w:val="000000"/>
              </w:rPr>
              <w:t>,</w:t>
            </w:r>
            <w:r w:rsidR="005553EC" w:rsidRPr="004F273D">
              <w:rPr>
                <w:rFonts w:cs="Arial"/>
                <w:color w:val="000000"/>
              </w:rPr>
              <w:t xml:space="preserve"> or</w:t>
            </w:r>
            <w:r>
              <w:rPr>
                <w:rFonts w:cs="Arial"/>
                <w:color w:val="000000"/>
              </w:rPr>
              <w:t xml:space="preserve"> for those</w:t>
            </w:r>
            <w:r w:rsidR="00040519">
              <w:rPr>
                <w:rFonts w:cs="Arial"/>
                <w:color w:val="000000"/>
              </w:rPr>
              <w:t xml:space="preserve"> who wish</w:t>
            </w:r>
            <w:r w:rsidR="005553EC" w:rsidRPr="004F273D">
              <w:rPr>
                <w:rFonts w:cs="Arial"/>
                <w:color w:val="000000"/>
              </w:rPr>
              <w:t xml:space="preserve"> to progress or even for</w:t>
            </w:r>
            <w:r w:rsidR="00040519">
              <w:rPr>
                <w:rFonts w:cs="Arial"/>
                <w:color w:val="000000"/>
              </w:rPr>
              <w:t xml:space="preserve"> CPD</w:t>
            </w:r>
            <w:r>
              <w:rPr>
                <w:rFonts w:cs="Arial"/>
                <w:color w:val="000000"/>
              </w:rPr>
              <w:t xml:space="preserve"> for</w:t>
            </w:r>
            <w:r w:rsidR="005553EC" w:rsidRPr="004F273D">
              <w:rPr>
                <w:rFonts w:cs="Arial"/>
                <w:color w:val="000000"/>
              </w:rPr>
              <w:t xml:space="preserve"> e</w:t>
            </w:r>
            <w:r>
              <w:rPr>
                <w:rFonts w:cs="Arial"/>
                <w:color w:val="000000"/>
              </w:rPr>
              <w:t>xisting supervisors</w:t>
            </w:r>
            <w:r w:rsidR="005553EC" w:rsidRPr="004F273D">
              <w:rPr>
                <w:rFonts w:cs="Arial"/>
                <w:color w:val="000000"/>
              </w:rPr>
              <w:t xml:space="preserve">.  </w:t>
            </w:r>
            <w:r w:rsidR="004F273D">
              <w:rPr>
                <w:lang w:val="en-US"/>
              </w:rPr>
              <w:t>20 short e-learni</w:t>
            </w:r>
            <w:r>
              <w:rPr>
                <w:lang w:val="en-US"/>
              </w:rPr>
              <w:t>ng modules</w:t>
            </w:r>
            <w:r w:rsidR="004F273D">
              <w:rPr>
                <w:lang w:val="en-US"/>
              </w:rPr>
              <w:t xml:space="preserve"> on three key areas: construction-based skills, soft skills and digital skills have been devised. </w:t>
            </w:r>
            <w:r>
              <w:rPr>
                <w:lang w:val="en-US"/>
              </w:rPr>
              <w:t>Opportunity to</w:t>
            </w:r>
            <w:r w:rsidR="004F273D">
              <w:rPr>
                <w:lang w:val="en-US"/>
              </w:rPr>
              <w:t xml:space="preserve"> attain accred</w:t>
            </w:r>
            <w:r w:rsidR="0028025B">
              <w:rPr>
                <w:lang w:val="en-US"/>
              </w:rPr>
              <w:t>itation with a digital ‘badge’</w:t>
            </w:r>
          </w:p>
          <w:p w14:paraId="15C86A14" w14:textId="77777777" w:rsidR="00B2367A" w:rsidRDefault="00B2367A" w:rsidP="008C11C3">
            <w:pPr>
              <w:jc w:val="center"/>
            </w:pPr>
          </w:p>
          <w:p w14:paraId="4417B16C" w14:textId="6FF64483" w:rsidR="00B2367A" w:rsidRPr="004F273D" w:rsidRDefault="00B2367A" w:rsidP="008C11C3">
            <w:pPr>
              <w:jc w:val="center"/>
            </w:pPr>
          </w:p>
        </w:tc>
        <w:tc>
          <w:tcPr>
            <w:tcW w:w="4416" w:type="dxa"/>
          </w:tcPr>
          <w:p w14:paraId="4CA5BE44" w14:textId="7C54C348" w:rsidR="005553EC" w:rsidRPr="004F273D" w:rsidRDefault="00456BB1" w:rsidP="004F273D">
            <w:pPr>
              <w:jc w:val="center"/>
              <w:rPr>
                <w:rFonts w:cs="Arial"/>
                <w:color w:val="000000"/>
              </w:rPr>
            </w:pPr>
            <w:hyperlink r:id="rId14" w:history="1">
              <w:r w:rsidR="005553EC" w:rsidRPr="004F273D">
                <w:rPr>
                  <w:rStyle w:val="Hyperlink"/>
                  <w:rFonts w:cs="Arial"/>
                </w:rPr>
                <w:t>https://hub.bctgconstruct.co.uk/</w:t>
              </w:r>
            </w:hyperlink>
          </w:p>
          <w:p w14:paraId="5BFE4B22" w14:textId="77777777" w:rsidR="005553EC" w:rsidRPr="004F273D" w:rsidRDefault="005553EC" w:rsidP="004F273D">
            <w:pPr>
              <w:jc w:val="center"/>
            </w:pPr>
          </w:p>
        </w:tc>
        <w:tc>
          <w:tcPr>
            <w:tcW w:w="3673" w:type="dxa"/>
          </w:tcPr>
          <w:p w14:paraId="45953B75" w14:textId="6D03B488" w:rsidR="005553EC" w:rsidRPr="004F273D" w:rsidRDefault="008C11C3" w:rsidP="00537D21">
            <w:pPr>
              <w:jc w:val="center"/>
            </w:pPr>
            <w:r>
              <w:t>Register and free a</w:t>
            </w:r>
            <w:r w:rsidR="005553EC" w:rsidRPr="004F273D">
              <w:t>ccess</w:t>
            </w:r>
          </w:p>
        </w:tc>
      </w:tr>
      <w:tr w:rsidR="00317EDA" w14:paraId="729539F7" w14:textId="77777777" w:rsidTr="00B2367A">
        <w:trPr>
          <w:trHeight w:val="330"/>
          <w:jc w:val="center"/>
        </w:trPr>
        <w:tc>
          <w:tcPr>
            <w:tcW w:w="2112" w:type="dxa"/>
          </w:tcPr>
          <w:p w14:paraId="0B2EE772" w14:textId="64FF77BB" w:rsidR="0070402E" w:rsidRPr="001B71B3" w:rsidRDefault="001B71B3" w:rsidP="00534CD6">
            <w:r w:rsidRPr="00534CD6">
              <w:rPr>
                <w:lang w:val="en-US"/>
              </w:rPr>
              <w:t>Quality and safety in the highway – backfilling the excavation</w:t>
            </w:r>
          </w:p>
        </w:tc>
        <w:tc>
          <w:tcPr>
            <w:tcW w:w="2225" w:type="dxa"/>
          </w:tcPr>
          <w:p w14:paraId="2171C580" w14:textId="0172A6FF" w:rsidR="0070402E" w:rsidRDefault="00F2134B" w:rsidP="00537D21">
            <w:pPr>
              <w:jc w:val="center"/>
            </w:pPr>
            <w:r>
              <w:rPr>
                <w:lang w:val="en-US"/>
              </w:rPr>
              <w:t xml:space="preserve">Energy </w:t>
            </w:r>
            <w:r w:rsidRPr="00F2134B">
              <w:rPr>
                <w:rStyle w:val="Emphasis"/>
                <w:lang w:val="en-US"/>
              </w:rPr>
              <w:t>and</w:t>
            </w:r>
            <w:r>
              <w:rPr>
                <w:lang w:val="en-US"/>
              </w:rPr>
              <w:t xml:space="preserve"> Utility Skills</w:t>
            </w:r>
          </w:p>
        </w:tc>
        <w:tc>
          <w:tcPr>
            <w:tcW w:w="2063" w:type="dxa"/>
          </w:tcPr>
          <w:p w14:paraId="6D1737A9" w14:textId="77777777" w:rsidR="0070402E" w:rsidRDefault="001B71B3" w:rsidP="00537D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aim of these</w:t>
            </w:r>
            <w:r w:rsidR="00B514CD">
              <w:rPr>
                <w:lang w:val="en-US"/>
              </w:rPr>
              <w:t xml:space="preserve"> 3</w:t>
            </w:r>
            <w:r>
              <w:rPr>
                <w:lang w:val="en-US"/>
              </w:rPr>
              <w:t xml:space="preserve"> videos is to influence behaviour and reduce accidents on site</w:t>
            </w:r>
          </w:p>
          <w:p w14:paraId="2EBF4395" w14:textId="77777777" w:rsidR="00B2367A" w:rsidRDefault="00B2367A" w:rsidP="00537D21">
            <w:pPr>
              <w:jc w:val="center"/>
              <w:rPr>
                <w:lang w:val="en-US"/>
              </w:rPr>
            </w:pPr>
          </w:p>
          <w:p w14:paraId="7A908843" w14:textId="77777777" w:rsidR="00B2367A" w:rsidRDefault="00B2367A" w:rsidP="00537D21">
            <w:pPr>
              <w:jc w:val="center"/>
              <w:rPr>
                <w:lang w:val="en-US"/>
              </w:rPr>
            </w:pPr>
          </w:p>
          <w:p w14:paraId="449A3EC8" w14:textId="77777777" w:rsidR="00B2367A" w:rsidRDefault="00B2367A" w:rsidP="00537D21">
            <w:pPr>
              <w:jc w:val="center"/>
              <w:rPr>
                <w:lang w:val="en-US"/>
              </w:rPr>
            </w:pPr>
          </w:p>
          <w:p w14:paraId="6C675D5D" w14:textId="77777777" w:rsidR="00B2367A" w:rsidRDefault="00B2367A" w:rsidP="00537D21">
            <w:pPr>
              <w:jc w:val="center"/>
              <w:rPr>
                <w:lang w:val="en-US"/>
              </w:rPr>
            </w:pPr>
          </w:p>
          <w:p w14:paraId="24B2851C" w14:textId="4176FD55" w:rsidR="00B2367A" w:rsidRDefault="00B2367A" w:rsidP="00537D21">
            <w:pPr>
              <w:jc w:val="center"/>
            </w:pPr>
          </w:p>
        </w:tc>
        <w:tc>
          <w:tcPr>
            <w:tcW w:w="4416" w:type="dxa"/>
          </w:tcPr>
          <w:p w14:paraId="5118BC81" w14:textId="77777777" w:rsidR="001B71B3" w:rsidRDefault="00456BB1" w:rsidP="001B71B3">
            <w:pPr>
              <w:rPr>
                <w:lang w:val="en-US"/>
              </w:rPr>
            </w:pPr>
            <w:hyperlink r:id="rId15" w:history="1">
              <w:r w:rsidR="001B71B3" w:rsidRPr="00092C45">
                <w:rPr>
                  <w:rStyle w:val="Hyperlink"/>
                  <w:lang w:val="en-US"/>
                </w:rPr>
                <w:t>Highways the Right Way I - Risk Assessments</w:t>
              </w:r>
            </w:hyperlink>
          </w:p>
          <w:p w14:paraId="3D048CC3" w14:textId="77777777" w:rsidR="001B71B3" w:rsidRDefault="001B71B3" w:rsidP="001B71B3">
            <w:pPr>
              <w:rPr>
                <w:lang w:val="en-US"/>
              </w:rPr>
            </w:pPr>
          </w:p>
          <w:p w14:paraId="7298DDE4" w14:textId="77777777" w:rsidR="001B71B3" w:rsidRDefault="00456BB1" w:rsidP="001B71B3">
            <w:pPr>
              <w:rPr>
                <w:lang w:val="en-US"/>
              </w:rPr>
            </w:pPr>
            <w:hyperlink r:id="rId16" w:history="1">
              <w:r w:rsidR="001B71B3" w:rsidRPr="000D3927">
                <w:rPr>
                  <w:rStyle w:val="Hyperlink"/>
                  <w:lang w:val="en-US"/>
                </w:rPr>
                <w:t>Highways the Right Way II - Breaking Ground</w:t>
              </w:r>
            </w:hyperlink>
          </w:p>
          <w:p w14:paraId="6D8577D9" w14:textId="77777777" w:rsidR="001B71B3" w:rsidRDefault="001B71B3" w:rsidP="001B71B3">
            <w:pPr>
              <w:rPr>
                <w:lang w:val="en-US"/>
              </w:rPr>
            </w:pPr>
          </w:p>
          <w:p w14:paraId="4DE97EB4" w14:textId="0F7A0E6E" w:rsidR="0070402E" w:rsidRPr="009F0AAB" w:rsidRDefault="00456BB1" w:rsidP="009F0AAB">
            <w:pPr>
              <w:rPr>
                <w:lang w:val="en-US"/>
              </w:rPr>
            </w:pPr>
            <w:hyperlink r:id="rId17" w:history="1">
              <w:r w:rsidR="009F0AAB" w:rsidRPr="000D3927">
                <w:rPr>
                  <w:rStyle w:val="Hyperlink"/>
                  <w:lang w:val="en-US"/>
                </w:rPr>
                <w:t>Highways the Right Way III - Backfilling Excavations</w:t>
              </w:r>
            </w:hyperlink>
          </w:p>
        </w:tc>
        <w:tc>
          <w:tcPr>
            <w:tcW w:w="3673" w:type="dxa"/>
          </w:tcPr>
          <w:p w14:paraId="11AE9BA1" w14:textId="7E269D8D" w:rsidR="0070402E" w:rsidRDefault="008C11C3" w:rsidP="00537D21">
            <w:pPr>
              <w:jc w:val="center"/>
            </w:pPr>
            <w:r>
              <w:t xml:space="preserve">Free access via links which take you to </w:t>
            </w:r>
            <w:r w:rsidR="00F37FA0">
              <w:t>YouTube</w:t>
            </w:r>
            <w:r>
              <w:t xml:space="preserve"> videos</w:t>
            </w:r>
          </w:p>
        </w:tc>
      </w:tr>
      <w:tr w:rsidR="00317EDA" w:rsidRPr="009F0AAB" w14:paraId="31E2EA0B" w14:textId="77777777" w:rsidTr="00B2367A">
        <w:trPr>
          <w:trHeight w:val="311"/>
          <w:jc w:val="center"/>
        </w:trPr>
        <w:tc>
          <w:tcPr>
            <w:tcW w:w="2112" w:type="dxa"/>
            <w:shd w:val="clear" w:color="auto" w:fill="BDD6EE" w:themeFill="accent1" w:themeFillTint="66"/>
          </w:tcPr>
          <w:p w14:paraId="759907BC" w14:textId="77777777" w:rsidR="009F0AAB" w:rsidRDefault="009F0AAB" w:rsidP="00537D21">
            <w:pPr>
              <w:jc w:val="center"/>
              <w:rPr>
                <w:b/>
                <w:lang w:val="en-US"/>
              </w:rPr>
            </w:pPr>
            <w:r w:rsidRPr="009F0AAB">
              <w:rPr>
                <w:b/>
                <w:lang w:val="en-US"/>
              </w:rPr>
              <w:lastRenderedPageBreak/>
              <w:t>Name</w:t>
            </w:r>
          </w:p>
          <w:p w14:paraId="1066B37B" w14:textId="693974CC" w:rsidR="009F0AAB" w:rsidRPr="009F0AAB" w:rsidRDefault="009F0AAB" w:rsidP="00537D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25" w:type="dxa"/>
            <w:shd w:val="clear" w:color="auto" w:fill="BDD6EE" w:themeFill="accent1" w:themeFillTint="66"/>
          </w:tcPr>
          <w:p w14:paraId="4F002616" w14:textId="5C4296EA" w:rsidR="009F0AAB" w:rsidRPr="009F0AAB" w:rsidRDefault="009F0AAB" w:rsidP="00537D21">
            <w:pPr>
              <w:jc w:val="center"/>
              <w:rPr>
                <w:b/>
              </w:rPr>
            </w:pPr>
            <w:r w:rsidRPr="009F0AAB">
              <w:rPr>
                <w:b/>
              </w:rPr>
              <w:t>Lead Organisation</w:t>
            </w:r>
          </w:p>
        </w:tc>
        <w:tc>
          <w:tcPr>
            <w:tcW w:w="2063" w:type="dxa"/>
            <w:shd w:val="clear" w:color="auto" w:fill="BDD6EE" w:themeFill="accent1" w:themeFillTint="66"/>
          </w:tcPr>
          <w:p w14:paraId="53C200DE" w14:textId="01A482ED" w:rsidR="009F0AAB" w:rsidRPr="009F0AAB" w:rsidRDefault="009F0AAB" w:rsidP="00537D21">
            <w:pPr>
              <w:jc w:val="center"/>
              <w:rPr>
                <w:b/>
                <w:lang w:val="en-US"/>
              </w:rPr>
            </w:pPr>
            <w:r w:rsidRPr="009F0AAB">
              <w:rPr>
                <w:b/>
                <w:lang w:val="en-US"/>
              </w:rPr>
              <w:t>Topic</w:t>
            </w:r>
          </w:p>
        </w:tc>
        <w:tc>
          <w:tcPr>
            <w:tcW w:w="4416" w:type="dxa"/>
            <w:shd w:val="clear" w:color="auto" w:fill="BDD6EE" w:themeFill="accent1" w:themeFillTint="66"/>
          </w:tcPr>
          <w:p w14:paraId="54A82D8C" w14:textId="1F3F7180" w:rsidR="009F0AAB" w:rsidRPr="009F0AAB" w:rsidRDefault="009F0AAB" w:rsidP="00537D21">
            <w:pPr>
              <w:jc w:val="center"/>
              <w:rPr>
                <w:b/>
              </w:rPr>
            </w:pPr>
            <w:r w:rsidRPr="009F0AAB">
              <w:rPr>
                <w:b/>
              </w:rPr>
              <w:t>Website</w:t>
            </w:r>
          </w:p>
        </w:tc>
        <w:tc>
          <w:tcPr>
            <w:tcW w:w="3673" w:type="dxa"/>
            <w:shd w:val="clear" w:color="auto" w:fill="BDD6EE" w:themeFill="accent1" w:themeFillTint="66"/>
          </w:tcPr>
          <w:p w14:paraId="52E83916" w14:textId="5FF20634" w:rsidR="009F0AAB" w:rsidRPr="009F0AAB" w:rsidRDefault="009F0AAB" w:rsidP="00537D21">
            <w:pPr>
              <w:jc w:val="center"/>
              <w:rPr>
                <w:b/>
              </w:rPr>
            </w:pPr>
            <w:r w:rsidRPr="009F0AAB">
              <w:rPr>
                <w:b/>
              </w:rPr>
              <w:t>Notes</w:t>
            </w:r>
          </w:p>
        </w:tc>
      </w:tr>
      <w:tr w:rsidR="00317EDA" w14:paraId="0AEF50DC" w14:textId="77777777" w:rsidTr="00B2367A">
        <w:trPr>
          <w:trHeight w:val="3273"/>
          <w:jc w:val="center"/>
        </w:trPr>
        <w:tc>
          <w:tcPr>
            <w:tcW w:w="2112" w:type="dxa"/>
          </w:tcPr>
          <w:p w14:paraId="61DDA7B3" w14:textId="061ECDD9" w:rsidR="0070402E" w:rsidRPr="001B71B3" w:rsidRDefault="001B71B3" w:rsidP="00537D21">
            <w:pPr>
              <w:jc w:val="center"/>
            </w:pPr>
            <w:r w:rsidRPr="001B71B3">
              <w:rPr>
                <w:lang w:val="en-US"/>
              </w:rPr>
              <w:t>Right to Work training videos</w:t>
            </w:r>
          </w:p>
        </w:tc>
        <w:tc>
          <w:tcPr>
            <w:tcW w:w="2225" w:type="dxa"/>
          </w:tcPr>
          <w:p w14:paraId="0F775852" w14:textId="0BB32856" w:rsidR="0070402E" w:rsidRDefault="00B514CD" w:rsidP="00537D21">
            <w:pPr>
              <w:jc w:val="center"/>
            </w:pPr>
            <w:r>
              <w:rPr>
                <w:lang w:val="en-US"/>
              </w:rPr>
              <w:t>Fortem Solutions (formerly Willmott Dixon Partnerships)</w:t>
            </w:r>
          </w:p>
        </w:tc>
        <w:tc>
          <w:tcPr>
            <w:tcW w:w="2063" w:type="dxa"/>
          </w:tcPr>
          <w:p w14:paraId="7083F08B" w14:textId="1CB2D111" w:rsidR="0070402E" w:rsidRDefault="001B71B3" w:rsidP="00537D21">
            <w:pPr>
              <w:jc w:val="center"/>
            </w:pPr>
            <w:r>
              <w:rPr>
                <w:lang w:val="en-US"/>
              </w:rPr>
              <w:t>The Right to W</w:t>
            </w:r>
            <w:r w:rsidR="00321860">
              <w:rPr>
                <w:lang w:val="en-US"/>
              </w:rPr>
              <w:t>ork project is aimed at providing</w:t>
            </w:r>
            <w:r>
              <w:rPr>
                <w:lang w:val="en-US"/>
              </w:rPr>
              <w:t xml:space="preserve"> accessible training on how to check the ‘right to work’ status of all employees thereby preventing illegal working and any modern slavery/trafficking activities</w:t>
            </w:r>
          </w:p>
        </w:tc>
        <w:tc>
          <w:tcPr>
            <w:tcW w:w="4416" w:type="dxa"/>
          </w:tcPr>
          <w:p w14:paraId="0F6F2C45" w14:textId="77777777" w:rsidR="00707245" w:rsidRDefault="00456BB1" w:rsidP="00537D21">
            <w:pPr>
              <w:jc w:val="center"/>
            </w:pPr>
            <w:hyperlink r:id="rId18" w:history="1">
              <w:r w:rsidR="003231C9" w:rsidRPr="003231C9">
                <w:rPr>
                  <w:rStyle w:val="Hyperlink"/>
                </w:rPr>
                <w:t>Right to work - part one</w:t>
              </w:r>
            </w:hyperlink>
          </w:p>
          <w:p w14:paraId="3702032C" w14:textId="77777777" w:rsidR="003231C9" w:rsidRDefault="003231C9" w:rsidP="00537D21">
            <w:pPr>
              <w:jc w:val="center"/>
            </w:pPr>
          </w:p>
          <w:p w14:paraId="47EB443A" w14:textId="0ED4C4F1" w:rsidR="003231C9" w:rsidRDefault="00456BB1" w:rsidP="00537D21">
            <w:pPr>
              <w:jc w:val="center"/>
            </w:pPr>
            <w:hyperlink r:id="rId19" w:history="1">
              <w:r w:rsidR="003231C9" w:rsidRPr="003231C9">
                <w:rPr>
                  <w:rStyle w:val="Hyperlink"/>
                </w:rPr>
                <w:t>Right to work - part two</w:t>
              </w:r>
            </w:hyperlink>
          </w:p>
        </w:tc>
        <w:tc>
          <w:tcPr>
            <w:tcW w:w="3673" w:type="dxa"/>
          </w:tcPr>
          <w:p w14:paraId="27A54907" w14:textId="13941D28" w:rsidR="0070402E" w:rsidRDefault="003231C9" w:rsidP="00537D21">
            <w:pPr>
              <w:jc w:val="center"/>
            </w:pPr>
            <w:r>
              <w:t>Free access via YouTube links</w:t>
            </w:r>
          </w:p>
        </w:tc>
      </w:tr>
      <w:tr w:rsidR="00317EDA" w14:paraId="782CFBA5" w14:textId="77777777" w:rsidTr="00B2367A">
        <w:trPr>
          <w:trHeight w:val="330"/>
          <w:jc w:val="center"/>
        </w:trPr>
        <w:tc>
          <w:tcPr>
            <w:tcW w:w="2112" w:type="dxa"/>
          </w:tcPr>
          <w:p w14:paraId="10B7934F" w14:textId="54DAA919" w:rsidR="009F0AAB" w:rsidRPr="007A433F" w:rsidRDefault="009F0AAB" w:rsidP="00537D21">
            <w:pPr>
              <w:jc w:val="center"/>
              <w:rPr>
                <w:color w:val="00B050"/>
                <w:lang w:val="en-US"/>
              </w:rPr>
            </w:pPr>
            <w:r>
              <w:rPr>
                <w:lang w:val="en-US"/>
              </w:rPr>
              <w:t>Piloting the Deployment of ISO18404 in the Construction Sector</w:t>
            </w:r>
          </w:p>
        </w:tc>
        <w:tc>
          <w:tcPr>
            <w:tcW w:w="2225" w:type="dxa"/>
          </w:tcPr>
          <w:p w14:paraId="6D9B02EE" w14:textId="78F939A9" w:rsidR="009F0AAB" w:rsidRDefault="009F0AAB" w:rsidP="00537D21">
            <w:pPr>
              <w:jc w:val="center"/>
            </w:pPr>
            <w:r>
              <w:rPr>
                <w:lang w:val="en-US"/>
              </w:rPr>
              <w:t>Gilbert and Goode</w:t>
            </w:r>
          </w:p>
        </w:tc>
        <w:tc>
          <w:tcPr>
            <w:tcW w:w="2063" w:type="dxa"/>
          </w:tcPr>
          <w:p w14:paraId="6ECC5E5E" w14:textId="1307D754" w:rsidR="009F0AAB" w:rsidRDefault="00B514CD" w:rsidP="00B514CD">
            <w:r>
              <w:rPr>
                <w:lang w:val="en-US"/>
              </w:rPr>
              <w:t xml:space="preserve">A </w:t>
            </w:r>
            <w:r w:rsidR="009F0AAB">
              <w:rPr>
                <w:lang w:val="en-US"/>
              </w:rPr>
              <w:t xml:space="preserve"> programme to accredit organisations in the British Standards Institution ISO18404 for Lean Construction</w:t>
            </w:r>
          </w:p>
        </w:tc>
        <w:tc>
          <w:tcPr>
            <w:tcW w:w="4416" w:type="dxa"/>
          </w:tcPr>
          <w:p w14:paraId="06DD25E1" w14:textId="77777777" w:rsidR="009F0AAB" w:rsidRDefault="00456BB1" w:rsidP="00537D21">
            <w:pPr>
              <w:jc w:val="center"/>
            </w:pPr>
            <w:hyperlink r:id="rId20" w:history="1">
              <w:r w:rsidR="00B514CD" w:rsidRPr="002320EE">
                <w:rPr>
                  <w:rStyle w:val="Hyperlink"/>
                </w:rPr>
                <w:t>https://leanconstructionireland.ie/iso-18404-as-a-lean-construction-transformation-model/</w:t>
              </w:r>
            </w:hyperlink>
            <w:r w:rsidR="00B514CD">
              <w:t xml:space="preserve"> </w:t>
            </w:r>
          </w:p>
          <w:p w14:paraId="6D02E01C" w14:textId="77777777" w:rsidR="00B514CD" w:rsidRDefault="00B514CD" w:rsidP="00537D21">
            <w:pPr>
              <w:jc w:val="center"/>
            </w:pPr>
          </w:p>
          <w:p w14:paraId="225C74EE" w14:textId="77777777" w:rsidR="00B514CD" w:rsidRDefault="00B514CD" w:rsidP="00537D21">
            <w:pPr>
              <w:jc w:val="center"/>
            </w:pPr>
          </w:p>
          <w:p w14:paraId="314D2A5F" w14:textId="117B57BA" w:rsidR="00B514CD" w:rsidRDefault="00456BB1" w:rsidP="00537D21">
            <w:pPr>
              <w:jc w:val="center"/>
            </w:pPr>
            <w:hyperlink r:id="rId21" w:history="1">
              <w:r w:rsidR="00B514CD" w:rsidRPr="002320EE">
                <w:rPr>
                  <w:rStyle w:val="Hyperlink"/>
                </w:rPr>
                <w:t>https://www.citb.co.uk/documents/funding/g-andg-report-final-13thjune.pdf</w:t>
              </w:r>
            </w:hyperlink>
            <w:r w:rsidR="00B514CD">
              <w:t xml:space="preserve"> </w:t>
            </w:r>
          </w:p>
        </w:tc>
        <w:tc>
          <w:tcPr>
            <w:tcW w:w="3673" w:type="dxa"/>
          </w:tcPr>
          <w:p w14:paraId="0CE17276" w14:textId="77777777" w:rsidR="009F0AAB" w:rsidRDefault="00B514CD" w:rsidP="00537D21">
            <w:pPr>
              <w:jc w:val="center"/>
            </w:pPr>
            <w:r>
              <w:t xml:space="preserve">Free webinar available on their website </w:t>
            </w:r>
          </w:p>
          <w:p w14:paraId="11C575B3" w14:textId="77777777" w:rsidR="00B514CD" w:rsidRDefault="00B514CD" w:rsidP="00537D21">
            <w:pPr>
              <w:jc w:val="center"/>
            </w:pPr>
          </w:p>
          <w:p w14:paraId="5C9BB39A" w14:textId="77777777" w:rsidR="00B514CD" w:rsidRDefault="00B514CD" w:rsidP="00537D21">
            <w:pPr>
              <w:jc w:val="center"/>
            </w:pPr>
          </w:p>
          <w:p w14:paraId="5C460FE8" w14:textId="77777777" w:rsidR="00B514CD" w:rsidRDefault="00B514CD" w:rsidP="00537D21">
            <w:pPr>
              <w:jc w:val="center"/>
            </w:pPr>
          </w:p>
          <w:p w14:paraId="785F397A" w14:textId="5F41064D" w:rsidR="00B514CD" w:rsidRDefault="00B514CD" w:rsidP="00537D21">
            <w:pPr>
              <w:jc w:val="center"/>
            </w:pPr>
            <w:r>
              <w:t>Free downloadable report</w:t>
            </w:r>
          </w:p>
        </w:tc>
      </w:tr>
      <w:tr w:rsidR="00317EDA" w14:paraId="0F92F2FA" w14:textId="77777777" w:rsidTr="00B2367A">
        <w:trPr>
          <w:trHeight w:val="330"/>
          <w:jc w:val="center"/>
        </w:trPr>
        <w:tc>
          <w:tcPr>
            <w:tcW w:w="2112" w:type="dxa"/>
          </w:tcPr>
          <w:p w14:paraId="5FED8477" w14:textId="691B850F" w:rsidR="008C11C3" w:rsidRDefault="003231C9" w:rsidP="00537D21">
            <w:pPr>
              <w:jc w:val="center"/>
              <w:rPr>
                <w:color w:val="00B050"/>
                <w:lang w:val="en-US"/>
              </w:rPr>
            </w:pPr>
            <w:proofErr w:type="spellStart"/>
            <w:r>
              <w:rPr>
                <w:lang w:val="en-US"/>
              </w:rPr>
              <w:t>BeResilient</w:t>
            </w:r>
            <w:proofErr w:type="spellEnd"/>
          </w:p>
          <w:p w14:paraId="35FFC157" w14:textId="77777777" w:rsidR="008C11C3" w:rsidRDefault="008C11C3" w:rsidP="00537D21">
            <w:pPr>
              <w:jc w:val="center"/>
              <w:rPr>
                <w:color w:val="00B050"/>
                <w:lang w:val="en-US"/>
              </w:rPr>
            </w:pPr>
          </w:p>
          <w:p w14:paraId="19FDCE0F" w14:textId="5E3C28C1" w:rsidR="008C11C3" w:rsidRDefault="008C11C3" w:rsidP="00537D21">
            <w:pPr>
              <w:jc w:val="center"/>
            </w:pPr>
          </w:p>
        </w:tc>
        <w:tc>
          <w:tcPr>
            <w:tcW w:w="2225" w:type="dxa"/>
          </w:tcPr>
          <w:p w14:paraId="38D6C986" w14:textId="295B6A72" w:rsidR="0070402E" w:rsidRDefault="003231C9" w:rsidP="00537D21">
            <w:pPr>
              <w:jc w:val="center"/>
            </w:pPr>
            <w:r>
              <w:rPr>
                <w:lang w:val="en-US"/>
              </w:rPr>
              <w:t>National Federation of Builders</w:t>
            </w:r>
          </w:p>
        </w:tc>
        <w:tc>
          <w:tcPr>
            <w:tcW w:w="2063" w:type="dxa"/>
          </w:tcPr>
          <w:p w14:paraId="22FDFCBD" w14:textId="0F1FD71A" w:rsidR="0070402E" w:rsidRDefault="00F37FA0" w:rsidP="00537D21">
            <w:pPr>
              <w:jc w:val="center"/>
            </w:pPr>
            <w:r>
              <w:rPr>
                <w:lang w:val="en-US"/>
              </w:rPr>
              <w:t>To i</w:t>
            </w:r>
            <w:r w:rsidR="003231C9">
              <w:rPr>
                <w:lang w:val="en-US"/>
              </w:rPr>
              <w:t>ncrease awareness and understanding amongst small employers of the importance of organisational resilience; develop the skills and capacity to implement it</w:t>
            </w:r>
          </w:p>
        </w:tc>
        <w:tc>
          <w:tcPr>
            <w:tcW w:w="4416" w:type="dxa"/>
          </w:tcPr>
          <w:p w14:paraId="1111D1DB" w14:textId="62E3C8FA" w:rsidR="00707245" w:rsidRDefault="00456BB1" w:rsidP="00537D21">
            <w:pPr>
              <w:jc w:val="center"/>
            </w:pPr>
            <w:hyperlink r:id="rId22" w:history="1">
              <w:r w:rsidR="00070B45" w:rsidRPr="009F6405">
                <w:rPr>
                  <w:rStyle w:val="Hyperlink"/>
                </w:rPr>
                <w:t>http://beresilient.support/organisational-resilience-support/</w:t>
              </w:r>
            </w:hyperlink>
            <w:r w:rsidR="00070B45">
              <w:t xml:space="preserve"> </w:t>
            </w:r>
          </w:p>
        </w:tc>
        <w:tc>
          <w:tcPr>
            <w:tcW w:w="3673" w:type="dxa"/>
          </w:tcPr>
          <w:p w14:paraId="53D438C6" w14:textId="7066DD4F" w:rsidR="00707245" w:rsidRDefault="00F37FA0" w:rsidP="00537D21">
            <w:pPr>
              <w:jc w:val="center"/>
            </w:pPr>
            <w:r>
              <w:t xml:space="preserve">Free access to </w:t>
            </w:r>
            <w:r>
              <w:rPr>
                <w:lang w:val="en-US"/>
              </w:rPr>
              <w:t>gap analysis tool for organisations to map their resilience and identify training tools to address the gaps</w:t>
            </w:r>
          </w:p>
        </w:tc>
      </w:tr>
    </w:tbl>
    <w:p w14:paraId="027CFBD7" w14:textId="77777777" w:rsidR="008C11C3" w:rsidRDefault="008C11C3"/>
    <w:sectPr w:rsidR="008C11C3" w:rsidSect="0070402E"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8CF6" w14:textId="77777777" w:rsidR="009A2EB5" w:rsidRDefault="009A2EB5" w:rsidP="009F0AAB">
      <w:pPr>
        <w:spacing w:after="0" w:line="240" w:lineRule="auto"/>
      </w:pPr>
      <w:r>
        <w:separator/>
      </w:r>
    </w:p>
  </w:endnote>
  <w:endnote w:type="continuationSeparator" w:id="0">
    <w:p w14:paraId="3605F3F5" w14:textId="77777777" w:rsidR="009A2EB5" w:rsidRDefault="009A2EB5" w:rsidP="009F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396A" w14:textId="512ACF9C" w:rsidR="00B2367A" w:rsidRDefault="00B2367A">
    <w:pPr>
      <w:pStyle w:val="Footer"/>
    </w:pPr>
    <w:r>
      <w:t>30/03/2020</w:t>
    </w:r>
  </w:p>
  <w:p w14:paraId="589430EF" w14:textId="77777777" w:rsidR="00B2367A" w:rsidRDefault="00B2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359E" w14:textId="77777777" w:rsidR="009A2EB5" w:rsidRDefault="009A2EB5" w:rsidP="009F0AAB">
      <w:pPr>
        <w:spacing w:after="0" w:line="240" w:lineRule="auto"/>
      </w:pPr>
      <w:r>
        <w:separator/>
      </w:r>
    </w:p>
  </w:footnote>
  <w:footnote w:type="continuationSeparator" w:id="0">
    <w:p w14:paraId="595461E1" w14:textId="77777777" w:rsidR="009A2EB5" w:rsidRDefault="009A2EB5" w:rsidP="009F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B5F95"/>
    <w:multiLevelType w:val="hybridMultilevel"/>
    <w:tmpl w:val="7F82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1"/>
    <w:rsid w:val="00040519"/>
    <w:rsid w:val="00070B45"/>
    <w:rsid w:val="000A0B54"/>
    <w:rsid w:val="00135E56"/>
    <w:rsid w:val="00167250"/>
    <w:rsid w:val="001B71B3"/>
    <w:rsid w:val="001D11E2"/>
    <w:rsid w:val="002711D4"/>
    <w:rsid w:val="0028025B"/>
    <w:rsid w:val="00281027"/>
    <w:rsid w:val="0028304A"/>
    <w:rsid w:val="00317EDA"/>
    <w:rsid w:val="00321860"/>
    <w:rsid w:val="003231C9"/>
    <w:rsid w:val="003538DD"/>
    <w:rsid w:val="00395ACA"/>
    <w:rsid w:val="00456BB1"/>
    <w:rsid w:val="004F273D"/>
    <w:rsid w:val="00533C05"/>
    <w:rsid w:val="00534CD6"/>
    <w:rsid w:val="00537D21"/>
    <w:rsid w:val="005553EC"/>
    <w:rsid w:val="005D571C"/>
    <w:rsid w:val="00631ED8"/>
    <w:rsid w:val="00661DCF"/>
    <w:rsid w:val="0070402E"/>
    <w:rsid w:val="00707245"/>
    <w:rsid w:val="00727A1F"/>
    <w:rsid w:val="007311D8"/>
    <w:rsid w:val="007E78F2"/>
    <w:rsid w:val="007F64CE"/>
    <w:rsid w:val="0085438B"/>
    <w:rsid w:val="00897CFB"/>
    <w:rsid w:val="008C11C3"/>
    <w:rsid w:val="008E28B6"/>
    <w:rsid w:val="009A2EB5"/>
    <w:rsid w:val="009F0AAB"/>
    <w:rsid w:val="00AC3676"/>
    <w:rsid w:val="00B13ECA"/>
    <w:rsid w:val="00B2367A"/>
    <w:rsid w:val="00B514CD"/>
    <w:rsid w:val="00C1253E"/>
    <w:rsid w:val="00F2134B"/>
    <w:rsid w:val="00F37FA0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5D3C"/>
  <w15:docId w15:val="{D201A23C-25D4-4F2C-8A01-583F3C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02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AB"/>
  </w:style>
  <w:style w:type="paragraph" w:styleId="Footer">
    <w:name w:val="footer"/>
    <w:basedOn w:val="Normal"/>
    <w:link w:val="FooterChar"/>
    <w:uiPriority w:val="99"/>
    <w:unhideWhenUsed/>
    <w:rsid w:val="009F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AB"/>
  </w:style>
  <w:style w:type="character" w:styleId="Emphasis">
    <w:name w:val="Emphasis"/>
    <w:basedOn w:val="DefaultParagraphFont"/>
    <w:uiPriority w:val="20"/>
    <w:qFormat/>
    <w:rsid w:val="00F21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nconstructionschool.com/" TargetMode="External"/><Relationship Id="rId18" Type="http://schemas.openxmlformats.org/officeDocument/2006/relationships/hyperlink" Target="https://www.youtube.com/watch?v=xK-k8goJbL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itb.co.uk/documents/funding/g-andg-report-final-13thjun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incibim.com/" TargetMode="External"/><Relationship Id="rId17" Type="http://schemas.openxmlformats.org/officeDocument/2006/relationships/hyperlink" Target="https://www.youtube.com/watch?v=5rTe02FqD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Xhav81sPgs" TargetMode="External"/><Relationship Id="rId20" Type="http://schemas.openxmlformats.org/officeDocument/2006/relationships/hyperlink" Target="https://leanconstructionireland.ie/iso-18404-as-a-lean-construction-transformation-mode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pplychainschool.co.uk/topic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O3lBtMMmC8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tmp"/><Relationship Id="rId19" Type="http://schemas.openxmlformats.org/officeDocument/2006/relationships/hyperlink" Target="https://www.youtube.com/watch?v=78LDWS18p5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ub.bctgconstruct.co.uk/" TargetMode="External"/><Relationship Id="rId22" Type="http://schemas.openxmlformats.org/officeDocument/2006/relationships/hyperlink" Target="http://beresilient.support/organisational-resilience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F342D736CB4FA65AFA3AA3364EEB" ma:contentTypeVersion="12" ma:contentTypeDescription="Create a new document." ma:contentTypeScope="" ma:versionID="7121da6743fdc36efb0b4e49396dc3ff">
  <xsd:schema xmlns:xsd="http://www.w3.org/2001/XMLSchema" xmlns:xs="http://www.w3.org/2001/XMLSchema" xmlns:p="http://schemas.microsoft.com/office/2006/metadata/properties" xmlns:ns3="a481283a-3cab-48c7-85f6-34ddbf0bb3db" xmlns:ns4="807f1bf4-d9ee-437a-a0bb-172878c2e4a8" targetNamespace="http://schemas.microsoft.com/office/2006/metadata/properties" ma:root="true" ma:fieldsID="0cc85f65c92b3c2d06ecc1ca7688c7c3" ns3:_="" ns4:_="">
    <xsd:import namespace="a481283a-3cab-48c7-85f6-34ddbf0bb3db"/>
    <xsd:import namespace="807f1bf4-d9ee-437a-a0bb-172878c2e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1283a-3cab-48c7-85f6-34ddbf0bb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f1bf4-d9ee-437a-a0bb-172878c2e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376B4-F4BB-4152-8094-387BC1AA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1283a-3cab-48c7-85f6-34ddbf0bb3db"/>
    <ds:schemaRef ds:uri="807f1bf4-d9ee-437a-a0bb-172878c2e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D237A-C29A-4576-9C79-AAA55EB48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996E2-C7C1-493D-821C-32F4941F6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W Evans</dc:creator>
  <cp:lastModifiedBy>Sheryle Primett</cp:lastModifiedBy>
  <cp:revision>2</cp:revision>
  <dcterms:created xsi:type="dcterms:W3CDTF">2020-04-01T10:29:00Z</dcterms:created>
  <dcterms:modified xsi:type="dcterms:W3CDTF">2020-04-01T10:29:00Z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0x0101008458F342D736CB4FA65AFA3AA3364EEB</vt:lpwstr>
  </property>
</Properties>
</file>